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F3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897F3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897F3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897F39" w:rsidRPr="00897F39" w:rsidRDefault="00897F39" w:rsidP="00B57C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2F54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8748DB">
        <w:rPr>
          <w:rFonts w:ascii="Times New Roman" w:hAnsi="Times New Roman"/>
          <w:sz w:val="28"/>
          <w:szCs w:val="28"/>
        </w:rPr>
        <w:t>12.04.2018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8748DB">
        <w:rPr>
          <w:rFonts w:ascii="Times New Roman" w:hAnsi="Times New Roman"/>
          <w:sz w:val="28"/>
          <w:szCs w:val="28"/>
        </w:rPr>
        <w:t>390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</w:t>
      </w:r>
      <w:r w:rsidR="00D66686">
        <w:rPr>
          <w:rFonts w:ascii="Times New Roman" w:hAnsi="Times New Roman"/>
          <w:sz w:val="28"/>
          <w:szCs w:val="28"/>
        </w:rPr>
        <w:t xml:space="preserve">право заключения договора на </w:t>
      </w:r>
      <w:r w:rsidRPr="00000C85">
        <w:rPr>
          <w:rFonts w:ascii="Times New Roman" w:hAnsi="Times New Roman"/>
          <w:sz w:val="28"/>
          <w:szCs w:val="28"/>
        </w:rPr>
        <w:t xml:space="preserve">размещение нестационарного торгового объекта, расположенного по адресу: Самарская область, </w:t>
      </w:r>
      <w:r w:rsidR="00D66686">
        <w:rPr>
          <w:rFonts w:ascii="Times New Roman" w:hAnsi="Times New Roman"/>
          <w:sz w:val="28"/>
          <w:szCs w:val="28"/>
        </w:rPr>
        <w:t xml:space="preserve">                </w:t>
      </w:r>
      <w:proofErr w:type="gramStart"/>
      <w:r w:rsidRPr="00000C85">
        <w:rPr>
          <w:rFonts w:ascii="Times New Roman" w:hAnsi="Times New Roman"/>
          <w:sz w:val="28"/>
          <w:szCs w:val="28"/>
        </w:rPr>
        <w:t>г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. Похвистнево, </w:t>
      </w:r>
      <w:r w:rsidR="00D66686">
        <w:rPr>
          <w:rFonts w:ascii="Times New Roman" w:hAnsi="Times New Roman"/>
          <w:sz w:val="28"/>
          <w:szCs w:val="28"/>
        </w:rPr>
        <w:t xml:space="preserve">район </w:t>
      </w:r>
      <w:r w:rsidR="008C6987">
        <w:rPr>
          <w:rFonts w:ascii="Times New Roman" w:hAnsi="Times New Roman"/>
          <w:sz w:val="28"/>
          <w:szCs w:val="28"/>
        </w:rPr>
        <w:t>ул.</w:t>
      </w:r>
      <w:r w:rsidR="00E22374">
        <w:rPr>
          <w:rFonts w:ascii="Times New Roman" w:hAnsi="Times New Roman"/>
          <w:sz w:val="28"/>
          <w:szCs w:val="28"/>
        </w:rPr>
        <w:t xml:space="preserve"> Революционная, 6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EA7F2B">
        <w:rPr>
          <w:rFonts w:ascii="Times New Roman" w:hAnsi="Times New Roman"/>
          <w:sz w:val="28"/>
          <w:szCs w:val="28"/>
        </w:rPr>
        <w:t>ость на который</w:t>
      </w:r>
      <w:r w:rsidR="009F75F8">
        <w:rPr>
          <w:rFonts w:ascii="Times New Roman" w:hAnsi="Times New Roman"/>
          <w:sz w:val="28"/>
          <w:szCs w:val="28"/>
        </w:rPr>
        <w:t xml:space="preserve"> не разграничена, </w:t>
      </w:r>
      <w:r w:rsidR="00D66686">
        <w:rPr>
          <w:rFonts w:ascii="Times New Roman" w:hAnsi="Times New Roman"/>
          <w:sz w:val="28"/>
          <w:szCs w:val="28"/>
        </w:rPr>
        <w:t>с кадастровым номером 63:07:0104009:569</w:t>
      </w:r>
      <w:r w:rsidR="00E07484">
        <w:rPr>
          <w:rFonts w:ascii="Times New Roman" w:hAnsi="Times New Roman"/>
          <w:sz w:val="28"/>
          <w:szCs w:val="28"/>
        </w:rPr>
        <w:t>.</w:t>
      </w:r>
    </w:p>
    <w:p w:rsidR="00F64CD9" w:rsidRPr="00B57CB0" w:rsidRDefault="00704523" w:rsidP="00F64CD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</w:t>
      </w:r>
      <w:r w:rsidR="00F64CD9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  <w:r w:rsidR="00F64CD9" w:rsidRPr="00B57CB0">
        <w:rPr>
          <w:rFonts w:ascii="Times New Roman" w:hAnsi="Times New Roman" w:cs="Times New Roman"/>
          <w:sz w:val="28"/>
          <w:szCs w:val="28"/>
        </w:rPr>
        <w:t>: Самарская область,</w:t>
      </w:r>
      <w:r w:rsidR="008748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64CD9" w:rsidRPr="00B57C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4CD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64CD9">
        <w:rPr>
          <w:rFonts w:ascii="Times New Roman" w:hAnsi="Times New Roman" w:cs="Times New Roman"/>
          <w:sz w:val="28"/>
          <w:szCs w:val="28"/>
        </w:rPr>
        <w:t xml:space="preserve">. </w:t>
      </w:r>
      <w:r w:rsidR="00F64CD9" w:rsidRPr="00B57CB0">
        <w:rPr>
          <w:rFonts w:ascii="Times New Roman" w:hAnsi="Times New Roman" w:cs="Times New Roman"/>
          <w:sz w:val="28"/>
          <w:szCs w:val="28"/>
        </w:rPr>
        <w:t>Похвистнево</w:t>
      </w:r>
      <w:r w:rsidR="00F64CD9">
        <w:rPr>
          <w:rFonts w:ascii="Times New Roman" w:hAnsi="Times New Roman" w:cs="Times New Roman"/>
          <w:sz w:val="28"/>
          <w:szCs w:val="28"/>
        </w:rPr>
        <w:t>, район ул. Суходольная.</w:t>
      </w:r>
    </w:p>
    <w:p w:rsidR="009F75F8" w:rsidRDefault="00E07484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75F8"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27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="009F75F8" w:rsidRPr="00B57CB0">
        <w:rPr>
          <w:rFonts w:ascii="Times New Roman" w:hAnsi="Times New Roman" w:cs="Times New Roman"/>
          <w:sz w:val="28"/>
          <w:szCs w:val="28"/>
        </w:rPr>
        <w:t>кв. м.</w:t>
      </w:r>
    </w:p>
    <w:p w:rsidR="00643137" w:rsidRDefault="00340D6E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нестационарного торгового объекта: несезонный.</w:t>
      </w:r>
    </w:p>
    <w:p w:rsidR="00643137" w:rsidRDefault="00643137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Специализация нестационарного торгового объекта: продовольственная группа товаров.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</w:t>
      </w:r>
      <w:r w:rsidR="00EA7F2B">
        <w:rPr>
          <w:rFonts w:ascii="Times New Roman" w:hAnsi="Times New Roman" w:cs="Times New Roman"/>
          <w:sz w:val="28"/>
          <w:szCs w:val="28"/>
        </w:rPr>
        <w:t>и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E0748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F82E11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EA7F2B" w:rsidRPr="00F82E11">
        <w:rPr>
          <w:rFonts w:ascii="Times New Roman" w:hAnsi="Times New Roman" w:cs="Times New Roman"/>
          <w:b/>
          <w:sz w:val="28"/>
          <w:szCs w:val="28"/>
        </w:rPr>
        <w:t>23</w:t>
      </w:r>
      <w:r w:rsidR="00237A28" w:rsidRPr="00F82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F2B" w:rsidRPr="00F82E11">
        <w:rPr>
          <w:rFonts w:ascii="Times New Roman" w:hAnsi="Times New Roman" w:cs="Times New Roman"/>
          <w:b/>
          <w:sz w:val="28"/>
          <w:szCs w:val="28"/>
        </w:rPr>
        <w:t>мая</w:t>
      </w:r>
      <w:r w:rsidR="00F50EDD" w:rsidRPr="00F82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E11">
        <w:rPr>
          <w:rFonts w:ascii="Times New Roman" w:hAnsi="Times New Roman" w:cs="Times New Roman"/>
          <w:b/>
          <w:sz w:val="28"/>
          <w:szCs w:val="28"/>
        </w:rPr>
        <w:t>20</w:t>
      </w:r>
      <w:r w:rsidR="00F50EDD" w:rsidRPr="00F82E11">
        <w:rPr>
          <w:rFonts w:ascii="Times New Roman" w:hAnsi="Times New Roman" w:cs="Times New Roman"/>
          <w:b/>
          <w:sz w:val="28"/>
          <w:szCs w:val="28"/>
        </w:rPr>
        <w:t>1</w:t>
      </w:r>
      <w:r w:rsidR="008330E0" w:rsidRPr="00F82E11">
        <w:rPr>
          <w:rFonts w:ascii="Times New Roman" w:hAnsi="Times New Roman" w:cs="Times New Roman"/>
          <w:b/>
          <w:sz w:val="28"/>
          <w:szCs w:val="28"/>
        </w:rPr>
        <w:t>8</w:t>
      </w:r>
      <w:r w:rsidRPr="00F82E11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F50EDD" w:rsidRPr="00F82E11">
        <w:rPr>
          <w:rFonts w:ascii="Times New Roman" w:hAnsi="Times New Roman" w:cs="Times New Roman"/>
          <w:b/>
          <w:sz w:val="28"/>
          <w:szCs w:val="28"/>
        </w:rPr>
        <w:t>0</w:t>
      </w:r>
      <w:r w:rsidR="00940C23" w:rsidRPr="00F82E11">
        <w:rPr>
          <w:rFonts w:ascii="Times New Roman" w:hAnsi="Times New Roman" w:cs="Times New Roman"/>
          <w:b/>
          <w:sz w:val="28"/>
          <w:szCs w:val="28"/>
        </w:rPr>
        <w:t>8</w:t>
      </w:r>
      <w:r w:rsidRPr="00F82E11">
        <w:rPr>
          <w:rFonts w:ascii="Times New Roman" w:hAnsi="Times New Roman" w:cs="Times New Roman"/>
          <w:b/>
          <w:sz w:val="28"/>
          <w:szCs w:val="28"/>
        </w:rPr>
        <w:t xml:space="preserve"> ч. </w:t>
      </w:r>
      <w:r w:rsidR="00F50EDD" w:rsidRPr="00F82E11">
        <w:rPr>
          <w:rFonts w:ascii="Times New Roman" w:hAnsi="Times New Roman" w:cs="Times New Roman"/>
          <w:b/>
          <w:sz w:val="28"/>
          <w:szCs w:val="28"/>
        </w:rPr>
        <w:t>00</w:t>
      </w:r>
      <w:r w:rsidRPr="00F82E11"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03591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F64CD9" w:rsidRDefault="00F64CD9" w:rsidP="00F64CD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Аукцион проводится в следующем порядке: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аукцион ведет аукционист;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аукцион начинается с оглашения аукционистом наименования, основных характеристик и начального размера платы по договору на размещение нестационарного торгового объекта, «шага аукциона» и порядка проведения аукциона;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участникам аукциона выдаются пронумерованные билеты, которые они поднимают после оглашения аукционистом начального размера платы по договору на размещение нестационарного торгового объекта и каждого размера платы в случае, если готовы заключить договор на размещение нестационарного торгового объекта в соответствии с этим размером платы;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каждый последующий размер платы аукционист назначает путем увеличения текущего размера платы  на «шаг аукциона». После объявления очередного размера платы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 платы в соответствии с «шагом аукциона»;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</w:t>
      </w:r>
      <w:proofErr w:type="spellEnd"/>
      <w:r>
        <w:rPr>
          <w:rFonts w:ascii="Times New Roman" w:hAnsi="Times New Roman"/>
          <w:sz w:val="28"/>
        </w:rPr>
        <w:t>) при отсутствии участников аукциона, готовых заключить договор на размещение нестационарного торгового объекта в соответствии с названным аукционистом размером платы, аукционист повторяет этот размер платы 3 раза.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Если после троекратного объявления очередного размера платы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по завершен</w:t>
      </w:r>
      <w:proofErr w:type="gramStart"/>
      <w:r>
        <w:rPr>
          <w:rFonts w:ascii="Times New Roman" w:hAnsi="Times New Roman"/>
          <w:sz w:val="28"/>
        </w:rPr>
        <w:t>ии ау</w:t>
      </w:r>
      <w:proofErr w:type="gramEnd"/>
      <w:r>
        <w:rPr>
          <w:rFonts w:ascii="Times New Roman" w:hAnsi="Times New Roman"/>
          <w:sz w:val="28"/>
        </w:rPr>
        <w:t>кциона аукционист объявляет о продаже права на заключение договора на размещение нестационарного торгового объекта, называет размер платы и номер билета победителя аукциона.</w:t>
      </w:r>
    </w:p>
    <w:p w:rsidR="00F64CD9" w:rsidRDefault="00F64CD9" w:rsidP="00F64C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аукциона оформляются протоколом.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</w:t>
      </w:r>
      <w:r w:rsidR="00643137">
        <w:rPr>
          <w:rFonts w:ascii="Times New Roman" w:hAnsi="Times New Roman" w:cs="Times New Roman"/>
          <w:sz w:val="28"/>
          <w:szCs w:val="28"/>
        </w:rPr>
        <w:t>ый размер платы по дог</w:t>
      </w:r>
      <w:r w:rsidR="00340D6E">
        <w:rPr>
          <w:rFonts w:ascii="Times New Roman" w:hAnsi="Times New Roman" w:cs="Times New Roman"/>
          <w:sz w:val="28"/>
          <w:szCs w:val="28"/>
        </w:rPr>
        <w:t>о</w:t>
      </w:r>
      <w:r w:rsidR="00643137">
        <w:rPr>
          <w:rFonts w:ascii="Times New Roman" w:hAnsi="Times New Roman" w:cs="Times New Roman"/>
          <w:sz w:val="28"/>
          <w:szCs w:val="28"/>
        </w:rPr>
        <w:t>вору на размещение нестационарного торгового объекта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12256E" w:rsidRPr="00340D6E">
        <w:rPr>
          <w:rFonts w:ascii="Times New Roman" w:hAnsi="Times New Roman" w:cs="Times New Roman"/>
          <w:sz w:val="28"/>
          <w:szCs w:val="28"/>
        </w:rPr>
        <w:t>44916</w:t>
      </w:r>
      <w:r w:rsidR="00664FEE" w:rsidRPr="00340D6E">
        <w:rPr>
          <w:rFonts w:ascii="Times New Roman" w:hAnsi="Times New Roman" w:cs="Times New Roman"/>
          <w:sz w:val="28"/>
          <w:szCs w:val="28"/>
        </w:rPr>
        <w:t xml:space="preserve"> (</w:t>
      </w:r>
      <w:r w:rsidR="0012256E" w:rsidRPr="00340D6E">
        <w:rPr>
          <w:rFonts w:ascii="Times New Roman" w:hAnsi="Times New Roman" w:cs="Times New Roman"/>
          <w:sz w:val="28"/>
          <w:szCs w:val="28"/>
        </w:rPr>
        <w:t>сорок четыре тысячи девятьсот шестнадцать</w:t>
      </w:r>
      <w:r w:rsidR="00664FEE" w:rsidRPr="00340D6E">
        <w:rPr>
          <w:rFonts w:ascii="Times New Roman" w:hAnsi="Times New Roman" w:cs="Times New Roman"/>
          <w:sz w:val="28"/>
          <w:szCs w:val="28"/>
        </w:rPr>
        <w:t>)</w:t>
      </w:r>
      <w:r w:rsidRPr="00340D6E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340D6E">
        <w:rPr>
          <w:rFonts w:ascii="Times New Roman" w:hAnsi="Times New Roman" w:cs="Times New Roman"/>
          <w:sz w:val="28"/>
          <w:szCs w:val="28"/>
        </w:rPr>
        <w:t xml:space="preserve"> </w:t>
      </w:r>
      <w:r w:rsidR="0012256E" w:rsidRPr="00340D6E">
        <w:rPr>
          <w:rFonts w:ascii="Times New Roman" w:hAnsi="Times New Roman" w:cs="Times New Roman"/>
          <w:sz w:val="28"/>
          <w:szCs w:val="28"/>
        </w:rPr>
        <w:t>51</w:t>
      </w:r>
      <w:r w:rsidR="00B54E5F" w:rsidRPr="00340D6E">
        <w:rPr>
          <w:rFonts w:ascii="Times New Roman" w:hAnsi="Times New Roman" w:cs="Times New Roman"/>
          <w:sz w:val="28"/>
          <w:szCs w:val="28"/>
        </w:rPr>
        <w:t xml:space="preserve"> копе</w:t>
      </w:r>
      <w:r w:rsidR="00CD4AA7" w:rsidRPr="00340D6E">
        <w:rPr>
          <w:rFonts w:ascii="Times New Roman" w:hAnsi="Times New Roman" w:cs="Times New Roman"/>
          <w:sz w:val="28"/>
          <w:szCs w:val="28"/>
        </w:rPr>
        <w:t>й</w:t>
      </w:r>
      <w:r w:rsidR="00B54E5F" w:rsidRPr="00340D6E">
        <w:rPr>
          <w:rFonts w:ascii="Times New Roman" w:hAnsi="Times New Roman" w:cs="Times New Roman"/>
          <w:sz w:val="28"/>
          <w:szCs w:val="28"/>
        </w:rPr>
        <w:t>к</w:t>
      </w:r>
      <w:r w:rsidR="0012256E" w:rsidRPr="00340D6E">
        <w:rPr>
          <w:rFonts w:ascii="Times New Roman" w:hAnsi="Times New Roman" w:cs="Times New Roman"/>
          <w:sz w:val="28"/>
          <w:szCs w:val="28"/>
        </w:rPr>
        <w:t>а</w:t>
      </w:r>
      <w:r w:rsidR="00BA238F" w:rsidRPr="00340D6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54E5F" w:rsidRPr="00340D6E">
        <w:rPr>
          <w:rFonts w:ascii="Times New Roman" w:hAnsi="Times New Roman" w:cs="Times New Roman"/>
          <w:sz w:val="28"/>
          <w:szCs w:val="28"/>
        </w:rPr>
        <w:t>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643137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начального размера платы по договору на размещение нестационарного торгового объекта</w:t>
      </w:r>
      <w:r w:rsidR="008624C7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12256E" w:rsidRPr="00340D6E">
        <w:rPr>
          <w:rFonts w:ascii="Times New Roman" w:hAnsi="Times New Roman" w:cs="Times New Roman"/>
          <w:sz w:val="28"/>
          <w:szCs w:val="28"/>
        </w:rPr>
        <w:t>1347</w:t>
      </w:r>
      <w:r w:rsidR="00664FEE" w:rsidRPr="00340D6E">
        <w:rPr>
          <w:rFonts w:ascii="Times New Roman" w:hAnsi="Times New Roman" w:cs="Times New Roman"/>
          <w:sz w:val="28"/>
          <w:szCs w:val="28"/>
        </w:rPr>
        <w:t xml:space="preserve"> (</w:t>
      </w:r>
      <w:r w:rsidR="0012256E" w:rsidRPr="00340D6E">
        <w:rPr>
          <w:rFonts w:ascii="Times New Roman" w:hAnsi="Times New Roman" w:cs="Times New Roman"/>
          <w:sz w:val="28"/>
          <w:szCs w:val="28"/>
        </w:rPr>
        <w:t>одна тысяча триста сорок семь</w:t>
      </w:r>
      <w:r w:rsidR="00664FEE" w:rsidRPr="00340D6E">
        <w:rPr>
          <w:rFonts w:ascii="Times New Roman" w:hAnsi="Times New Roman" w:cs="Times New Roman"/>
          <w:sz w:val="28"/>
          <w:szCs w:val="28"/>
        </w:rPr>
        <w:t>)</w:t>
      </w:r>
      <w:r w:rsidRPr="00340D6E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340D6E">
        <w:rPr>
          <w:rFonts w:ascii="Times New Roman" w:hAnsi="Times New Roman" w:cs="Times New Roman"/>
          <w:sz w:val="28"/>
          <w:szCs w:val="28"/>
        </w:rPr>
        <w:t>.</w:t>
      </w:r>
      <w:r w:rsidRPr="00340D6E">
        <w:rPr>
          <w:rFonts w:ascii="Times New Roman" w:hAnsi="Times New Roman" w:cs="Times New Roman"/>
          <w:sz w:val="28"/>
          <w:szCs w:val="28"/>
        </w:rPr>
        <w:t xml:space="preserve"> </w:t>
      </w:r>
      <w:r w:rsidR="0012256E" w:rsidRPr="00340D6E">
        <w:rPr>
          <w:rFonts w:ascii="Times New Roman" w:hAnsi="Times New Roman" w:cs="Times New Roman"/>
          <w:sz w:val="28"/>
          <w:szCs w:val="28"/>
        </w:rPr>
        <w:t xml:space="preserve">50 </w:t>
      </w:r>
      <w:r w:rsidRPr="00340D6E">
        <w:rPr>
          <w:rFonts w:ascii="Times New Roman" w:hAnsi="Times New Roman" w:cs="Times New Roman"/>
          <w:sz w:val="28"/>
          <w:szCs w:val="28"/>
        </w:rPr>
        <w:t>коп</w:t>
      </w:r>
      <w:r w:rsidR="008624C7" w:rsidRPr="00340D6E">
        <w:rPr>
          <w:rFonts w:ascii="Times New Roman" w:hAnsi="Times New Roman" w:cs="Times New Roman"/>
          <w:sz w:val="28"/>
          <w:szCs w:val="28"/>
        </w:rPr>
        <w:t>е</w:t>
      </w:r>
      <w:r w:rsidR="00CD4AA7" w:rsidRPr="00340D6E">
        <w:rPr>
          <w:rFonts w:ascii="Times New Roman" w:hAnsi="Times New Roman" w:cs="Times New Roman"/>
          <w:sz w:val="28"/>
          <w:szCs w:val="28"/>
        </w:rPr>
        <w:t>ек</w:t>
      </w:r>
      <w:r w:rsidRPr="00340D6E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E07484">
        <w:rPr>
          <w:rFonts w:ascii="Times New Roman" w:hAnsi="Times New Roman" w:cs="Times New Roman"/>
          <w:sz w:val="28"/>
          <w:szCs w:val="28"/>
        </w:rPr>
        <w:t>16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E07484">
        <w:rPr>
          <w:rFonts w:ascii="Times New Roman" w:hAnsi="Times New Roman" w:cs="Times New Roman"/>
          <w:sz w:val="28"/>
          <w:szCs w:val="28"/>
        </w:rPr>
        <w:t>апреля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E07484">
        <w:rPr>
          <w:rFonts w:ascii="Times New Roman" w:hAnsi="Times New Roman" w:cs="Times New Roman"/>
          <w:sz w:val="28"/>
          <w:szCs w:val="28"/>
        </w:rPr>
        <w:t>2018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E07484">
        <w:rPr>
          <w:rFonts w:ascii="Times New Roman" w:hAnsi="Times New Roman" w:cs="Times New Roman"/>
          <w:sz w:val="28"/>
          <w:szCs w:val="28"/>
        </w:rPr>
        <w:t>17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E07484">
        <w:rPr>
          <w:rFonts w:ascii="Times New Roman" w:hAnsi="Times New Roman" w:cs="Times New Roman"/>
          <w:sz w:val="28"/>
          <w:szCs w:val="28"/>
        </w:rPr>
        <w:t>мая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8B6D1D" w:rsidRDefault="008B6D1D" w:rsidP="008B6D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приема заявок на участие в аукционе:</w:t>
      </w:r>
    </w:p>
    <w:p w:rsidR="008B6D1D" w:rsidRDefault="008B6D1D" w:rsidP="008B6D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подаче заявки организатору аукциона лицо, подающее заявку, обязано представить подлинник документа, удостоверяющего ли</w:t>
      </w:r>
      <w:r w:rsidR="00EE0CF5">
        <w:rPr>
          <w:rFonts w:ascii="Times New Roman" w:hAnsi="Times New Roman"/>
          <w:sz w:val="28"/>
        </w:rPr>
        <w:t>чность, и (или) доверенность</w:t>
      </w:r>
      <w:r w:rsidR="00EE0CF5" w:rsidRPr="00EE0CF5">
        <w:rPr>
          <w:rFonts w:ascii="Times New Roman" w:hAnsi="Times New Roman"/>
          <w:sz w:val="28"/>
        </w:rPr>
        <w:t xml:space="preserve"> </w:t>
      </w:r>
      <w:r w:rsidR="00EE0CF5">
        <w:rPr>
          <w:rFonts w:ascii="Times New Roman" w:hAnsi="Times New Roman"/>
          <w:sz w:val="28"/>
        </w:rPr>
        <w:t>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EE0CF5">
        <w:rPr>
          <w:rFonts w:ascii="Times New Roman" w:hAnsi="Times New Roman"/>
          <w:sz w:val="28"/>
        </w:rPr>
        <w:t>,</w:t>
      </w:r>
      <w:proofErr w:type="gramEnd"/>
      <w:r w:rsidR="00EE0CF5">
        <w:rPr>
          <w:rFonts w:ascii="Times New Roman" w:hAnsi="Times New Roman"/>
          <w:sz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rPr>
          <w:rFonts w:ascii="Times New Roman" w:hAnsi="Times New Roman"/>
          <w:sz w:val="28"/>
        </w:rPr>
        <w:t xml:space="preserve">. Один </w:t>
      </w:r>
      <w:r w:rsidR="00ED333C">
        <w:rPr>
          <w:rFonts w:ascii="Times New Roman" w:hAnsi="Times New Roman"/>
          <w:sz w:val="28"/>
        </w:rPr>
        <w:t>претендент</w:t>
      </w:r>
      <w:r>
        <w:rPr>
          <w:rFonts w:ascii="Times New Roman" w:hAnsi="Times New Roman"/>
          <w:sz w:val="28"/>
        </w:rPr>
        <w:t xml:space="preserve"> вправе подать только одну заявку на участие в аукционе. Заявк</w:t>
      </w:r>
      <w:r w:rsidR="00EE0CF5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 прилагаемы</w:t>
      </w:r>
      <w:r w:rsidR="00EE0CF5">
        <w:rPr>
          <w:rFonts w:ascii="Times New Roman" w:hAnsi="Times New Roman"/>
          <w:sz w:val="28"/>
        </w:rPr>
        <w:t>ми к ней документами регистрирую</w:t>
      </w:r>
      <w:r>
        <w:rPr>
          <w:rFonts w:ascii="Times New Roman" w:hAnsi="Times New Roman"/>
          <w:sz w:val="28"/>
        </w:rPr>
        <w:t xml:space="preserve">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</w:t>
      </w:r>
      <w:r w:rsidR="00ED333C">
        <w:rPr>
          <w:rFonts w:ascii="Times New Roman" w:hAnsi="Times New Roman"/>
          <w:sz w:val="28"/>
        </w:rPr>
        <w:t>претенденту</w:t>
      </w:r>
      <w:r>
        <w:rPr>
          <w:rFonts w:ascii="Times New Roman" w:hAnsi="Times New Roman"/>
          <w:sz w:val="28"/>
        </w:rPr>
        <w:t xml:space="preserve"> в день ее поступления. </w:t>
      </w:r>
      <w:r w:rsidR="00ED333C">
        <w:rPr>
          <w:rFonts w:ascii="Times New Roman" w:hAnsi="Times New Roman"/>
          <w:sz w:val="28"/>
        </w:rPr>
        <w:t>Претендент</w:t>
      </w:r>
      <w:r>
        <w:rPr>
          <w:rFonts w:ascii="Times New Roman" w:hAnsi="Times New Roman"/>
          <w:sz w:val="28"/>
        </w:rPr>
        <w:t xml:space="preserve">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12256E" w:rsidRPr="00B57CB0" w:rsidRDefault="00EE0CF5" w:rsidP="001225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12256E" w:rsidRPr="00340D6E">
        <w:rPr>
          <w:rFonts w:ascii="Times New Roman" w:hAnsi="Times New Roman" w:cs="Times New Roman"/>
          <w:sz w:val="28"/>
          <w:szCs w:val="28"/>
        </w:rPr>
        <w:t>44916 (сорок четыре тысячи девятьсот шестнадцать) руб. 51 копейка в год.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EE0CF5">
        <w:rPr>
          <w:rFonts w:ascii="Times New Roman" w:hAnsi="Times New Roman" w:cs="Times New Roman"/>
          <w:sz w:val="28"/>
          <w:szCs w:val="28"/>
        </w:rPr>
        <w:t xml:space="preserve"> задаток вносится </w:t>
      </w:r>
      <w:r w:rsidR="00EE0CF5">
        <w:rPr>
          <w:rFonts w:ascii="Times New Roman" w:hAnsi="Times New Roman" w:cs="Times New Roman"/>
          <w:sz w:val="28"/>
          <w:szCs w:val="28"/>
        </w:rPr>
        <w:lastRenderedPageBreak/>
        <w:t>претендентом безналичным платежом на расчетный счет и в размере, указанном в извещении о проведен</w:t>
      </w:r>
      <w:proofErr w:type="gramStart"/>
      <w:r w:rsidR="00EE0CF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EE0CF5">
        <w:rPr>
          <w:rFonts w:ascii="Times New Roman" w:hAnsi="Times New Roman" w:cs="Times New Roman"/>
          <w:sz w:val="28"/>
          <w:szCs w:val="28"/>
        </w:rPr>
        <w:t>кциона, не позднее дня окончания срока приема заявок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CF5" w:rsidRDefault="00EE0CF5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возвратить претенденту внесенный им задаток в течение трех рабочих дней со дня поступления уведомления об отзыве заявк</w:t>
      </w:r>
      <w:r w:rsidR="00897F39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В случае отзыва заявки претендентом позднее дня окончания срока приема заявок задаток возвращается в порядке, установленном для участников аукциона.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</w:t>
      </w:r>
      <w:r w:rsidR="00897F39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заключения договора на размещение нестационарного торгового объекта в целях использования земель или земельных участков, находящихся в государственной или муниципальной собственности, для размещения нестационарных торговых объектов без предоставления данных земельных участков и установления в отношении</w:t>
      </w:r>
      <w:proofErr w:type="gramEnd"/>
      <w:r w:rsidR="00897F39">
        <w:rPr>
          <w:rFonts w:ascii="Times New Roman" w:eastAsiaTheme="minorHAnsi" w:hAnsi="Times New Roman"/>
          <w:sz w:val="28"/>
          <w:szCs w:val="28"/>
          <w:lang w:eastAsia="en-US"/>
        </w:rPr>
        <w:t xml:space="preserve"> них сервитута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F82E11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CB644D" w:rsidRPr="00B57CB0" w:rsidRDefault="00CB644D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Default="00F82E11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О</w:t>
      </w:r>
      <w:r w:rsidR="00CB644D" w:rsidRPr="00B57CB0">
        <w:rPr>
          <w:rFonts w:ascii="Times New Roman" w:hAnsi="Times New Roman"/>
          <w:sz w:val="28"/>
          <w:szCs w:val="28"/>
        </w:rPr>
        <w:t xml:space="preserve">тделение Самара </w:t>
      </w:r>
      <w:proofErr w:type="gramStart"/>
      <w:r w:rsidR="00CB644D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CB644D" w:rsidRPr="00B57C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B644D" w:rsidRPr="00B57CB0">
        <w:rPr>
          <w:rFonts w:ascii="Times New Roman" w:hAnsi="Times New Roman"/>
          <w:sz w:val="28"/>
          <w:szCs w:val="28"/>
        </w:rPr>
        <w:t>Самара БИК 043601001 ОКПО 04031411 ОКТМО 36727000, КБК 910 117 05040 04 0000 180.</w:t>
      </w:r>
    </w:p>
    <w:p w:rsidR="00F82E11" w:rsidRPr="00B57CB0" w:rsidRDefault="00F82E11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Дата  определения участников аукциона – 21 мая 2018 года в 14.00 в здании Администрации городского округа Похвистнево Самарской области по адресу: Самарская область,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Похвистнево, ул. Куйбышева, 11, кабинет   № 11. </w:t>
      </w:r>
    </w:p>
    <w:p w:rsidR="00E07484" w:rsidRPr="00000C85" w:rsidRDefault="00E07484" w:rsidP="00E07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действия договора на размещение нестационарного торгового объекта:</w:t>
      </w:r>
      <w:r w:rsidRPr="00000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лет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E07484" w:rsidRDefault="00035910" w:rsidP="00E0748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Адрес местонахождения организатора аукциона: </w:t>
      </w:r>
      <w:r w:rsidR="00E07484">
        <w:rPr>
          <w:rFonts w:ascii="Times New Roman" w:hAnsi="Times New Roman"/>
          <w:sz w:val="28"/>
        </w:rPr>
        <w:t xml:space="preserve">Самарская область,      </w:t>
      </w:r>
      <w:proofErr w:type="gramStart"/>
      <w:r w:rsidR="00E07484">
        <w:rPr>
          <w:rFonts w:ascii="Times New Roman" w:hAnsi="Times New Roman"/>
          <w:sz w:val="28"/>
        </w:rPr>
        <w:t>г</w:t>
      </w:r>
      <w:proofErr w:type="gramEnd"/>
      <w:r w:rsidR="00E07484">
        <w:rPr>
          <w:rFonts w:ascii="Times New Roman" w:hAnsi="Times New Roman"/>
          <w:sz w:val="28"/>
        </w:rPr>
        <w:t>. Похвистнево, 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897F39" w:rsidRDefault="00897F39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настоящему извещению: форма заявки на участие в аукционе.</w:t>
      </w: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sectPr w:rsidR="00CD4AA7" w:rsidSect="00897F39">
      <w:headerReference w:type="default" r:id="rId11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5A2" w:rsidRDefault="00FE45A2" w:rsidP="00164459">
      <w:pPr>
        <w:spacing w:after="0" w:line="240" w:lineRule="auto"/>
      </w:pPr>
      <w:r>
        <w:separator/>
      </w:r>
    </w:p>
  </w:endnote>
  <w:endnote w:type="continuationSeparator" w:id="0">
    <w:p w:rsidR="00FE45A2" w:rsidRDefault="00FE45A2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5A2" w:rsidRDefault="00FE45A2" w:rsidP="00164459">
      <w:pPr>
        <w:spacing w:after="0" w:line="240" w:lineRule="auto"/>
      </w:pPr>
      <w:r>
        <w:separator/>
      </w:r>
    </w:p>
  </w:footnote>
  <w:footnote w:type="continuationSeparator" w:id="0">
    <w:p w:rsidR="00FE45A2" w:rsidRDefault="00FE45A2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EE0CF5" w:rsidRPr="00164459" w:rsidRDefault="00531218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EE0CF5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8748DB">
          <w:rPr>
            <w:rFonts w:ascii="Times New Roman" w:hAnsi="Times New Roman"/>
            <w:noProof/>
            <w:sz w:val="24"/>
            <w:szCs w:val="24"/>
          </w:rPr>
          <w:t>2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E0CF5" w:rsidRDefault="00EE0CF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2256E"/>
    <w:rsid w:val="00151ADA"/>
    <w:rsid w:val="00162F54"/>
    <w:rsid w:val="00164459"/>
    <w:rsid w:val="001E216A"/>
    <w:rsid w:val="001F2D59"/>
    <w:rsid w:val="001F5982"/>
    <w:rsid w:val="00205FC2"/>
    <w:rsid w:val="002137CE"/>
    <w:rsid w:val="0021599D"/>
    <w:rsid w:val="00227654"/>
    <w:rsid w:val="00237A28"/>
    <w:rsid w:val="002400C6"/>
    <w:rsid w:val="00262A65"/>
    <w:rsid w:val="002A272C"/>
    <w:rsid w:val="002A6301"/>
    <w:rsid w:val="002B6BFD"/>
    <w:rsid w:val="002D2180"/>
    <w:rsid w:val="002E2E92"/>
    <w:rsid w:val="002E30FA"/>
    <w:rsid w:val="002E5B8A"/>
    <w:rsid w:val="00304C11"/>
    <w:rsid w:val="00313F22"/>
    <w:rsid w:val="00314EE3"/>
    <w:rsid w:val="00340D6E"/>
    <w:rsid w:val="003726AE"/>
    <w:rsid w:val="00376557"/>
    <w:rsid w:val="0038433A"/>
    <w:rsid w:val="003A7446"/>
    <w:rsid w:val="003C4E0F"/>
    <w:rsid w:val="003E0BF8"/>
    <w:rsid w:val="003E0FCB"/>
    <w:rsid w:val="004056DF"/>
    <w:rsid w:val="00417EB7"/>
    <w:rsid w:val="00425238"/>
    <w:rsid w:val="00437450"/>
    <w:rsid w:val="0047799B"/>
    <w:rsid w:val="00485B2A"/>
    <w:rsid w:val="004C26AC"/>
    <w:rsid w:val="004D5EA8"/>
    <w:rsid w:val="004D71AD"/>
    <w:rsid w:val="004F6262"/>
    <w:rsid w:val="005032A5"/>
    <w:rsid w:val="00531218"/>
    <w:rsid w:val="00534289"/>
    <w:rsid w:val="00541ACF"/>
    <w:rsid w:val="005427F0"/>
    <w:rsid w:val="0055343B"/>
    <w:rsid w:val="00581687"/>
    <w:rsid w:val="00593798"/>
    <w:rsid w:val="005945AF"/>
    <w:rsid w:val="005A0CFA"/>
    <w:rsid w:val="005A23D9"/>
    <w:rsid w:val="005A5084"/>
    <w:rsid w:val="005B2608"/>
    <w:rsid w:val="005D5218"/>
    <w:rsid w:val="005E46A9"/>
    <w:rsid w:val="005F0E47"/>
    <w:rsid w:val="005F79B8"/>
    <w:rsid w:val="00603C4A"/>
    <w:rsid w:val="00632793"/>
    <w:rsid w:val="00643137"/>
    <w:rsid w:val="006479BB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04523"/>
    <w:rsid w:val="0071380A"/>
    <w:rsid w:val="00731C53"/>
    <w:rsid w:val="0074010D"/>
    <w:rsid w:val="00741E32"/>
    <w:rsid w:val="007473DC"/>
    <w:rsid w:val="00752126"/>
    <w:rsid w:val="007533A9"/>
    <w:rsid w:val="00775FB7"/>
    <w:rsid w:val="00782D53"/>
    <w:rsid w:val="00786059"/>
    <w:rsid w:val="00793BDC"/>
    <w:rsid w:val="00811193"/>
    <w:rsid w:val="008330E0"/>
    <w:rsid w:val="0083571B"/>
    <w:rsid w:val="00844639"/>
    <w:rsid w:val="00852A3E"/>
    <w:rsid w:val="008624C7"/>
    <w:rsid w:val="0086462B"/>
    <w:rsid w:val="008748DB"/>
    <w:rsid w:val="008863BC"/>
    <w:rsid w:val="0089766C"/>
    <w:rsid w:val="00897F39"/>
    <w:rsid w:val="008A0F52"/>
    <w:rsid w:val="008A50E0"/>
    <w:rsid w:val="008A7D48"/>
    <w:rsid w:val="008B1CFD"/>
    <w:rsid w:val="008B2BE6"/>
    <w:rsid w:val="008B6D1D"/>
    <w:rsid w:val="008B78A6"/>
    <w:rsid w:val="008C119F"/>
    <w:rsid w:val="008C6987"/>
    <w:rsid w:val="008F7523"/>
    <w:rsid w:val="00911118"/>
    <w:rsid w:val="00914707"/>
    <w:rsid w:val="009336A2"/>
    <w:rsid w:val="00940C23"/>
    <w:rsid w:val="009430D2"/>
    <w:rsid w:val="00992C87"/>
    <w:rsid w:val="0099309B"/>
    <w:rsid w:val="009970D3"/>
    <w:rsid w:val="009D34DF"/>
    <w:rsid w:val="009D5645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E68D7"/>
    <w:rsid w:val="00B2369B"/>
    <w:rsid w:val="00B26134"/>
    <w:rsid w:val="00B40B9B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C000E8"/>
    <w:rsid w:val="00C13CD4"/>
    <w:rsid w:val="00C16620"/>
    <w:rsid w:val="00C177B9"/>
    <w:rsid w:val="00C5455C"/>
    <w:rsid w:val="00C556FE"/>
    <w:rsid w:val="00CA46FB"/>
    <w:rsid w:val="00CB2654"/>
    <w:rsid w:val="00CB644D"/>
    <w:rsid w:val="00CD215C"/>
    <w:rsid w:val="00CD4AA7"/>
    <w:rsid w:val="00CE0279"/>
    <w:rsid w:val="00CF5B20"/>
    <w:rsid w:val="00CF5DCC"/>
    <w:rsid w:val="00D15455"/>
    <w:rsid w:val="00D22EC3"/>
    <w:rsid w:val="00D267B3"/>
    <w:rsid w:val="00D415DC"/>
    <w:rsid w:val="00D54432"/>
    <w:rsid w:val="00D61F4C"/>
    <w:rsid w:val="00D66686"/>
    <w:rsid w:val="00D67C51"/>
    <w:rsid w:val="00D7157F"/>
    <w:rsid w:val="00DA0F66"/>
    <w:rsid w:val="00DA3D75"/>
    <w:rsid w:val="00DD084E"/>
    <w:rsid w:val="00E07484"/>
    <w:rsid w:val="00E222B2"/>
    <w:rsid w:val="00E22374"/>
    <w:rsid w:val="00E4259E"/>
    <w:rsid w:val="00E460A8"/>
    <w:rsid w:val="00E5580D"/>
    <w:rsid w:val="00E60430"/>
    <w:rsid w:val="00E71C80"/>
    <w:rsid w:val="00E86653"/>
    <w:rsid w:val="00EA244B"/>
    <w:rsid w:val="00EA27BB"/>
    <w:rsid w:val="00EA7F2B"/>
    <w:rsid w:val="00EB1C11"/>
    <w:rsid w:val="00EB371E"/>
    <w:rsid w:val="00ED333C"/>
    <w:rsid w:val="00EE0CF5"/>
    <w:rsid w:val="00EF7D0B"/>
    <w:rsid w:val="00F044A5"/>
    <w:rsid w:val="00F04BBF"/>
    <w:rsid w:val="00F15168"/>
    <w:rsid w:val="00F50EDD"/>
    <w:rsid w:val="00F64CD9"/>
    <w:rsid w:val="00F66AFE"/>
    <w:rsid w:val="00F76E16"/>
    <w:rsid w:val="00F82E11"/>
    <w:rsid w:val="00F9724A"/>
    <w:rsid w:val="00FA6CF9"/>
    <w:rsid w:val="00FC5AC4"/>
    <w:rsid w:val="00FC7816"/>
    <w:rsid w:val="00FD3010"/>
    <w:rsid w:val="00FE45A2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A0B09-CF33-4EE4-9CCD-A2591A71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4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100</cp:revision>
  <cp:lastPrinted>2018-04-09T12:31:00Z</cp:lastPrinted>
  <dcterms:created xsi:type="dcterms:W3CDTF">2015-08-26T05:07:00Z</dcterms:created>
  <dcterms:modified xsi:type="dcterms:W3CDTF">2018-04-13T06:00:00Z</dcterms:modified>
</cp:coreProperties>
</file>