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footer1.xml.rels" ContentType="application/vnd.openxmlformats-package.relationships+xml"/>
  <Override PartName="/word/_rels/foot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nsPlusNormal"/>
        <w:numPr>
          <w:ilvl w:val="0"/>
          <w:numId w:val="0"/>
        </w:numPr>
        <w:ind w:left="0" w:hanging="0"/>
        <w:jc w:val="both"/>
        <w:outlineLvl w:val="0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</w:r>
    </w:p>
    <w:p>
      <w:pPr>
        <w:pStyle w:val="ConsPlusTitle"/>
        <w:ind w:left="0" w:hanging="0"/>
        <w:jc w:val="center"/>
        <w:rPr>
          <w:b w:val="false"/>
          <w:b w:val="false"/>
        </w:rPr>
      </w:pPr>
      <w:r>
        <w:rPr>
          <w:b/>
          <w:i w:val="false"/>
          <w:strike w:val="false"/>
          <w:dstrike w:val="false"/>
          <w:sz w:val="24"/>
          <w:u w:val="none"/>
        </w:rPr>
        <w:t>МИНИСТЕРСТВО ПРОМЫШЛЕННОСТИ И ТОРГОВЛИ РОССИЙСКОЙ ФЕДЕРАЦИИ</w:t>
      </w:r>
    </w:p>
    <w:p>
      <w:pPr>
        <w:pStyle w:val="ConsPlusTitle"/>
        <w:ind w:left="0" w:hanging="0"/>
        <w:jc w:val="center"/>
        <w:rPr>
          <w:rFonts w:ascii="Arial" w:hAnsi="Arial"/>
          <w:b/>
          <w:b/>
          <w:i w:val="false"/>
          <w:i w:val="false"/>
          <w:strike w:val="false"/>
          <w:dstrike w:val="false"/>
          <w:sz w:val="24"/>
          <w:u w:val="none"/>
        </w:rPr>
      </w:pPr>
      <w:r>
        <w:rPr>
          <w:b/>
          <w:i w:val="false"/>
          <w:strike w:val="false"/>
          <w:dstrike w:val="false"/>
          <w:sz w:val="24"/>
          <w:u w:val="none"/>
        </w:rPr>
      </w:r>
    </w:p>
    <w:p>
      <w:pPr>
        <w:pStyle w:val="ConsPlusTitle"/>
        <w:ind w:left="0" w:hanging="0"/>
        <w:jc w:val="center"/>
        <w:rPr>
          <w:b w:val="false"/>
          <w:b w:val="false"/>
        </w:rPr>
      </w:pPr>
      <w:r>
        <w:rPr>
          <w:b/>
          <w:i w:val="false"/>
          <w:strike w:val="false"/>
          <w:dstrike w:val="false"/>
          <w:sz w:val="24"/>
          <w:u w:val="none"/>
        </w:rPr>
        <w:t>ФЕДЕРАЛЬНОЕ АГЕНТСТВО ПО ТЕХНИЧЕСКОМУ РЕГУЛИРОВАНИЮ</w:t>
      </w:r>
    </w:p>
    <w:p>
      <w:pPr>
        <w:pStyle w:val="ConsPlusTitle"/>
        <w:ind w:left="0" w:hanging="0"/>
        <w:jc w:val="center"/>
        <w:rPr>
          <w:b w:val="false"/>
          <w:b w:val="false"/>
        </w:rPr>
      </w:pPr>
      <w:r>
        <w:rPr>
          <w:b/>
          <w:i w:val="false"/>
          <w:strike w:val="false"/>
          <w:dstrike w:val="false"/>
          <w:sz w:val="24"/>
          <w:u w:val="none"/>
        </w:rPr>
        <w:t>И МЕТРОЛОГИИ</w:t>
      </w:r>
    </w:p>
    <w:p>
      <w:pPr>
        <w:pStyle w:val="ConsPlusTitle"/>
        <w:ind w:left="0" w:hanging="0"/>
        <w:jc w:val="center"/>
        <w:rPr>
          <w:b w:val="false"/>
          <w:b w:val="false"/>
        </w:rPr>
      </w:pPr>
      <w:r>
        <w:rPr>
          <w:b/>
          <w:i w:val="false"/>
          <w:strike w:val="false"/>
          <w:dstrike w:val="false"/>
          <w:sz w:val="24"/>
          <w:u w:val="none"/>
        </w:rPr>
        <w:t>N АА-275/04</w:t>
      </w:r>
    </w:p>
    <w:p>
      <w:pPr>
        <w:pStyle w:val="ConsPlusTitle"/>
        <w:ind w:left="0" w:hanging="0"/>
        <w:jc w:val="center"/>
        <w:rPr>
          <w:rFonts w:ascii="Arial" w:hAnsi="Arial"/>
          <w:b/>
          <w:b/>
          <w:i w:val="false"/>
          <w:i w:val="false"/>
          <w:strike w:val="false"/>
          <w:dstrike w:val="false"/>
          <w:sz w:val="24"/>
          <w:u w:val="none"/>
        </w:rPr>
      </w:pPr>
      <w:r>
        <w:rPr>
          <w:b/>
          <w:i w:val="false"/>
          <w:strike w:val="false"/>
          <w:dstrike w:val="false"/>
          <w:sz w:val="24"/>
          <w:u w:val="none"/>
        </w:rPr>
      </w:r>
    </w:p>
    <w:p>
      <w:pPr>
        <w:pStyle w:val="ConsPlusTitle"/>
        <w:ind w:left="0" w:hanging="0"/>
        <w:jc w:val="center"/>
        <w:rPr>
          <w:b w:val="false"/>
          <w:b w:val="false"/>
        </w:rPr>
      </w:pPr>
      <w:r>
        <w:rPr>
          <w:b/>
          <w:i w:val="false"/>
          <w:strike w:val="false"/>
          <w:dstrike w:val="false"/>
          <w:sz w:val="24"/>
          <w:u w:val="none"/>
        </w:rPr>
        <w:t>МИНИСТЕРСТВО ЭКОНОМИЧЕСКОГО РАЗВИТИЯ РОССИЙСКОЙ ФЕДЕРАЦИИ</w:t>
      </w:r>
    </w:p>
    <w:p>
      <w:pPr>
        <w:pStyle w:val="ConsPlusTitle"/>
        <w:ind w:left="0" w:hanging="0"/>
        <w:jc w:val="center"/>
        <w:rPr>
          <w:rFonts w:ascii="Arial" w:hAnsi="Arial"/>
          <w:b/>
          <w:b/>
          <w:i w:val="false"/>
          <w:i w:val="false"/>
          <w:strike w:val="false"/>
          <w:dstrike w:val="false"/>
          <w:sz w:val="24"/>
          <w:u w:val="none"/>
        </w:rPr>
      </w:pPr>
      <w:r>
        <w:rPr>
          <w:b/>
          <w:i w:val="false"/>
          <w:strike w:val="false"/>
          <w:dstrike w:val="false"/>
          <w:sz w:val="24"/>
          <w:u w:val="none"/>
        </w:rPr>
      </w:r>
    </w:p>
    <w:p>
      <w:pPr>
        <w:pStyle w:val="ConsPlusTitle"/>
        <w:ind w:left="0" w:hanging="0"/>
        <w:jc w:val="center"/>
        <w:rPr>
          <w:b w:val="false"/>
          <w:b w:val="false"/>
        </w:rPr>
      </w:pPr>
      <w:r>
        <w:rPr>
          <w:b/>
          <w:i w:val="false"/>
          <w:strike w:val="false"/>
          <w:dstrike w:val="false"/>
          <w:sz w:val="24"/>
          <w:u w:val="none"/>
        </w:rPr>
        <w:t>ФЕДЕРАЛЬНАЯ СЛУЖБА ПО АККРЕДИТАЦИИ</w:t>
      </w:r>
    </w:p>
    <w:p>
      <w:pPr>
        <w:pStyle w:val="ConsPlusTitle"/>
        <w:ind w:left="0" w:hanging="0"/>
        <w:jc w:val="center"/>
        <w:rPr>
          <w:b w:val="false"/>
          <w:b w:val="false"/>
        </w:rPr>
      </w:pPr>
      <w:r>
        <w:rPr>
          <w:b/>
          <w:i w:val="false"/>
          <w:strike w:val="false"/>
          <w:dstrike w:val="false"/>
          <w:sz w:val="24"/>
          <w:u w:val="none"/>
        </w:rPr>
        <w:t>N НС-73</w:t>
      </w:r>
    </w:p>
    <w:p>
      <w:pPr>
        <w:pStyle w:val="ConsPlusTitle"/>
        <w:ind w:left="0" w:firstLine="540"/>
        <w:jc w:val="both"/>
        <w:rPr>
          <w:rFonts w:ascii="Arial" w:hAnsi="Arial"/>
          <w:b/>
          <w:b/>
          <w:i w:val="false"/>
          <w:i w:val="false"/>
          <w:strike w:val="false"/>
          <w:dstrike w:val="false"/>
          <w:sz w:val="24"/>
          <w:u w:val="none"/>
        </w:rPr>
      </w:pPr>
      <w:r>
        <w:rPr>
          <w:b/>
          <w:i w:val="false"/>
          <w:strike w:val="false"/>
          <w:dstrike w:val="false"/>
          <w:sz w:val="24"/>
          <w:u w:val="none"/>
        </w:rPr>
      </w:r>
    </w:p>
    <w:p>
      <w:pPr>
        <w:pStyle w:val="ConsPlusTitle"/>
        <w:ind w:left="0" w:hanging="0"/>
        <w:jc w:val="center"/>
        <w:rPr>
          <w:b w:val="false"/>
          <w:b w:val="false"/>
        </w:rPr>
      </w:pPr>
      <w:r>
        <w:rPr>
          <w:b/>
          <w:i w:val="false"/>
          <w:strike w:val="false"/>
          <w:dstrike w:val="false"/>
          <w:sz w:val="24"/>
          <w:u w:val="none"/>
        </w:rPr>
        <w:t>ПИСЬМО</w:t>
      </w:r>
    </w:p>
    <w:p>
      <w:pPr>
        <w:pStyle w:val="ConsPlusTitle"/>
        <w:ind w:left="0" w:hanging="0"/>
        <w:jc w:val="center"/>
        <w:rPr>
          <w:b w:val="false"/>
          <w:b w:val="false"/>
        </w:rPr>
      </w:pPr>
      <w:r>
        <w:rPr>
          <w:b/>
          <w:i w:val="false"/>
          <w:strike w:val="false"/>
          <w:dstrike w:val="false"/>
          <w:sz w:val="24"/>
          <w:u w:val="none"/>
        </w:rPr>
        <w:t>от 21 апреля 2020 года</w:t>
      </w:r>
    </w:p>
    <w:p>
      <w:pPr>
        <w:pStyle w:val="ConsPlusTitle"/>
        <w:ind w:left="0" w:firstLine="540"/>
        <w:jc w:val="both"/>
        <w:rPr>
          <w:rFonts w:ascii="Arial" w:hAnsi="Arial"/>
          <w:b/>
          <w:b/>
          <w:i w:val="false"/>
          <w:i w:val="false"/>
          <w:strike w:val="false"/>
          <w:dstrike w:val="false"/>
          <w:sz w:val="24"/>
          <w:u w:val="none"/>
        </w:rPr>
      </w:pPr>
      <w:r>
        <w:rPr>
          <w:b/>
          <w:i w:val="false"/>
          <w:strike w:val="false"/>
          <w:dstrike w:val="false"/>
          <w:sz w:val="24"/>
          <w:u w:val="none"/>
        </w:rPr>
      </w:r>
    </w:p>
    <w:p>
      <w:pPr>
        <w:pStyle w:val="ConsPlusTitle"/>
        <w:ind w:left="0" w:hanging="0"/>
        <w:jc w:val="center"/>
        <w:rPr>
          <w:b w:val="false"/>
          <w:b w:val="false"/>
        </w:rPr>
      </w:pPr>
      <w:r>
        <w:rPr>
          <w:b/>
          <w:i w:val="false"/>
          <w:strike w:val="false"/>
          <w:dstrike w:val="false"/>
          <w:sz w:val="24"/>
          <w:u w:val="none"/>
        </w:rPr>
        <w:t>ЮРИДИЧЕСКИМ ЛИЦАМ И ИНДИВИДУАЛЬНЫМ ПРЕДПРИНИМАТЕЛЯМ,</w:t>
      </w:r>
    </w:p>
    <w:p>
      <w:pPr>
        <w:pStyle w:val="ConsPlusTitle"/>
        <w:ind w:left="0" w:hanging="0"/>
        <w:jc w:val="center"/>
        <w:rPr>
          <w:b w:val="false"/>
          <w:b w:val="false"/>
        </w:rPr>
      </w:pPr>
      <w:r>
        <w:rPr>
          <w:b/>
          <w:i w:val="false"/>
          <w:strike w:val="false"/>
          <w:dstrike w:val="false"/>
          <w:sz w:val="24"/>
          <w:u w:val="none"/>
        </w:rPr>
        <w:t>ВЫПОЛНЯЮЩИМ РАБОТЫ В ОБЛАСТИ ОБЕСПЕЧЕНИЯ ЕДИНСТВА ИЗМЕРЕНИЙ</w:t>
      </w:r>
    </w:p>
    <w:p>
      <w:pPr>
        <w:pStyle w:val="ConsPlusTitle"/>
        <w:ind w:left="0" w:hanging="0"/>
        <w:jc w:val="center"/>
        <w:rPr>
          <w:b w:val="false"/>
          <w:b w:val="false"/>
        </w:rPr>
      </w:pPr>
      <w:r>
        <w:rPr>
          <w:b/>
          <w:i w:val="false"/>
          <w:strike w:val="false"/>
          <w:dstrike w:val="false"/>
          <w:sz w:val="24"/>
          <w:u w:val="none"/>
        </w:rPr>
        <w:t>ПО ПОВЕРКЕ БЫТОВЫХ ПРИБОРОВ УЧЕТА</w:t>
      </w:r>
    </w:p>
    <w:p>
      <w:pPr>
        <w:pStyle w:val="ConsPlusNormal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</w:r>
    </w:p>
    <w:p>
      <w:pPr>
        <w:pStyle w:val="ConsPlusNormal"/>
        <w:ind w:left="0" w:firstLine="540"/>
        <w:jc w:val="both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В рамках мероприятий по защите здоровья населения и предотвращению причинения вреда жизни, здоровью граждан в условиях угрозы распространения новой коронавирусной инфекции Федеральным законом от 1 апреля 2020 г. N 98-ФЗ "О внесении изменений в отдельные законодательные акты Российской Федерации по вопросам предупреждения и ликвидации чрезвычайных ситуаций" установлены особенности начисления и уплаты пени в случае несвоевременной и (или) не полностью внесенной платы за жилое помещение и коммунальные услуги, взносов на капитальный ремонт, установленных жилищным законодательством Российской Федерации, а также взыскания неустойки (штрафа, пени) за несвоевременное и (или) не полностью исполненное юридическими лицами обязательство по оплате услуг, предоставляемых на основании договоров в соответствии с законодательством Российской Федерации о газоснабжении, электроэнергетике, теплоснабжении, водоснабжении и водоотведении.</w:t>
      </w:r>
    </w:p>
    <w:p>
      <w:pPr>
        <w:pStyle w:val="ConsPlusNormal"/>
        <w:spacing w:before="240" w:after="0"/>
        <w:ind w:left="0" w:firstLine="540"/>
        <w:jc w:val="both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Постановлением Правительства Российской Федерации от 2 апреля 2020 г. N 424 "Об особенностях предоставления коммунальных услуг собственникам и пользователям помещений в многоквартирных домах и жилых домов" (далее - Постановление) установлено, что положения договоров, заключенных в соответствии с законодательством Российской Федерации о газоснабжении, электроэнергетике, теплоснабжении, водоснабжении и водоотведении, устанавливающие право поставщиков коммунальных ресурсов на взыскание неустойки (штрафа, пени) за несвоевременное и (или) не полностью исполненное лицами, осуществляющими деятельность по управлению многоквартирными домами, обязательство по оплате коммунальных ресурсов, не применяются до 1 января 2021 года.</w:t>
      </w:r>
    </w:p>
    <w:p>
      <w:pPr>
        <w:pStyle w:val="ConsPlusNormal"/>
        <w:spacing w:before="240" w:after="0"/>
        <w:ind w:left="0" w:firstLine="540"/>
        <w:jc w:val="both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Пунктом 1 Постановления установлено, что действие подпункта "д" пункта 81(12)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6 мая 2011 г. N 354 "О предоставлении коммунальных услуг собственникам и пользователям помещений в многоквартирных домах и жилых домов", в части установления неисправности (выхода из строя) приборов учета в случае истечения межповерочного интервала поверки приборов учета приостановлено до 1 января 2021 года.</w:t>
      </w:r>
    </w:p>
    <w:p>
      <w:pPr>
        <w:pStyle w:val="ConsPlusNormal"/>
        <w:spacing w:before="240" w:after="0"/>
        <w:ind w:left="0" w:firstLine="540"/>
        <w:jc w:val="both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Таким образом, все бытовые приборы учета могут применяться физическими лицами - потребителями коммунальных услуг без проведения очередной поверки до 1 января 2021 года, в том числе и с истекшим сроком поверки. Показания таких приборов для расчета оплаты потребленных коммунальных услуг принимаются. Неустойка (штраф, пени) не взыскивается.</w:t>
      </w:r>
    </w:p>
    <w:p>
      <w:pPr>
        <w:pStyle w:val="ConsPlusNormal"/>
        <w:spacing w:before="240" w:after="0"/>
        <w:ind w:left="0" w:firstLine="540"/>
        <w:jc w:val="both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На основании изложенного Федеральное агентство по техническому регулированию и метрологии и Федеральная служба по аккредитации обращают внимание юридических лиц и индивидуальных предпринимателей, выполняющих работы в области обеспечения единства измерений по поверке бытовых приборов учета, в случае поступления заявки на поверку бытовых приборов учета, об обязательном информировании заявителей - физических лиц об отсутствии необходимости проводить указанные работы до 1 января 2021 года.</w:t>
      </w:r>
    </w:p>
    <w:p>
      <w:pPr>
        <w:pStyle w:val="ConsPlusNormal"/>
        <w:spacing w:before="240" w:after="0"/>
        <w:ind w:left="0" w:firstLine="540"/>
        <w:jc w:val="both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В целях информирования граждан просим разместить указанную информацию на сайтах организаций в информационно-телекоммуникационной сети "Интернет".</w:t>
      </w:r>
    </w:p>
    <w:p>
      <w:pPr>
        <w:pStyle w:val="ConsPlusNormal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</w:r>
    </w:p>
    <w:p>
      <w:pPr>
        <w:pStyle w:val="ConsPlusNormal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</w:r>
    </w:p>
    <w:p>
      <w:pPr>
        <w:pStyle w:val="ConsPlusNormal"/>
        <w:pBdr>
          <w:top w:val="single" w:sz="6" w:space="0" w:color="000000"/>
        </w:pBdr>
        <w:spacing w:before="100" w:after="100"/>
        <w:ind w:left="0" w:hanging="0"/>
        <w:jc w:val="both"/>
        <w:rPr/>
      </w:pPr>
      <w:r>
        <w:rPr/>
      </w:r>
    </w:p>
    <w:sectPr>
      <w:headerReference w:type="default" r:id="rId2"/>
      <w:headerReference w:type="first" r:id="rId3"/>
      <w:footerReference w:type="default" r:id="rId4"/>
      <w:footerReference w:type="first" r:id="rId5"/>
      <w:type w:val="nextPage"/>
      <w:pgSz w:w="11906" w:h="16838"/>
      <w:pgMar w:left="1133" w:right="566" w:header="0" w:top="1440" w:footer="0" w:bottom="1440" w:gutter="0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0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Courier New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nsPlusNormal"/>
      <w:pBdr>
        <w:bottom w:val="single" w:sz="12" w:space="0" w:color="000000"/>
      </w:pBdr>
      <w:jc w:val="center"/>
      <w:rPr>
        <w:sz w:val="1"/>
      </w:rPr>
    </w:pPr>
    <w:r>
      <w:rPr>
        <w:sz w:val="1"/>
      </w:rPr>
    </w:r>
  </w:p>
  <w:tbl>
    <w:tblPr>
      <w:tblW w:w="10207" w:type="dxa"/>
      <w:jc w:val="left"/>
      <w:tblInd w:w="0" w:type="dxa"/>
      <w:tblBorders/>
      <w:tblCellMar>
        <w:top w:w="0" w:type="dxa"/>
        <w:left w:w="40" w:type="dxa"/>
        <w:bottom w:w="0" w:type="dxa"/>
        <w:right w:w="40" w:type="dxa"/>
      </w:tblCellMar>
    </w:tblPr>
    <w:tblGrid>
      <w:gridCol w:w="3368"/>
      <w:gridCol w:w="3470"/>
      <w:gridCol w:w="3369"/>
    </w:tblGrid>
    <w:tr>
      <w:trPr>
        <w:trHeight w:val="1663" w:hRule="exact"/>
      </w:trPr>
      <w:tc>
        <w:tcPr>
          <w:tcW w:w="3368" w:type="dxa"/>
          <w:tcBorders/>
          <w:shd w:fill="auto" w:val="clear"/>
          <w:vAlign w:val="center"/>
        </w:tcPr>
        <w:p>
          <w:pPr>
            <w:pStyle w:val="ConsPlusNormal"/>
            <w:tabs>
              <w:tab w:val="clear" w:pos="720"/>
            </w:tabs>
            <w:jc w:val="left"/>
            <w:rPr/>
          </w:pPr>
          <w:r>
            <w:rPr>
              <w:rFonts w:ascii="0" w:hAnsi="0"/>
              <w:b/>
              <w:i w:val="false"/>
              <w:color w:val="F58220"/>
              <w:sz w:val="28"/>
            </w:rPr>
            <w:t>КонсультантПлюс</w:t>
          </w:r>
          <w:r>
            <w:rPr/>
            <w:br/>
          </w:r>
          <w:r>
            <w:rPr>
              <w:rFonts w:ascii="0" w:hAnsi="0"/>
              <w:b/>
              <w:i w:val="false"/>
              <w:color w:val="auto"/>
              <w:sz w:val="16"/>
            </w:rPr>
            <w:t>надежная правовая поддержка</w:t>
          </w:r>
        </w:p>
      </w:tc>
      <w:tc>
        <w:tcPr>
          <w:tcW w:w="3470" w:type="dxa"/>
          <w:tcBorders/>
          <w:shd w:fill="auto" w:val="clear"/>
          <w:vAlign w:val="center"/>
        </w:tcPr>
        <w:p>
          <w:pPr>
            <w:pStyle w:val="ConsPlusNormal"/>
            <w:tabs>
              <w:tab w:val="clear" w:pos="720"/>
            </w:tabs>
            <w:jc w:val="center"/>
            <w:rPr/>
          </w:pPr>
          <w:hyperlink r:id="rId1">
            <w:r>
              <w:rPr>
                <w:rStyle w:val="ListLabel2"/>
                <w:rFonts w:ascii="0" w:hAnsi="0"/>
                <w:b/>
                <w:i w:val="false"/>
                <w:color w:val="0000FF"/>
                <w:sz w:val="20"/>
              </w:rPr>
              <w:t>www.consultant.ru</w:t>
            </w:r>
          </w:hyperlink>
        </w:p>
      </w:tc>
      <w:tc>
        <w:tcPr>
          <w:tcW w:w="3369" w:type="dxa"/>
          <w:tcBorders/>
          <w:shd w:fill="auto" w:val="clear"/>
          <w:vAlign w:val="center"/>
        </w:tcPr>
        <w:p>
          <w:pPr>
            <w:pStyle w:val="ConsPlusNormal"/>
            <w:tabs>
              <w:tab w:val="clear" w:pos="720"/>
            </w:tabs>
            <w:jc w:val="right"/>
            <w:rPr/>
          </w:pPr>
          <w:r>
            <w:rPr>
              <w:rFonts w:ascii="0" w:hAnsi="0"/>
              <w:b w:val="false"/>
              <w:i w:val="false"/>
              <w:sz w:val="20"/>
            </w:rPr>
            <w:t xml:space="preserve">Страница </w:t>
          </w:r>
          <w:r>
            <w:rPr/>
            <w:fldChar w:fldCharType="begin"/>
          </w:r>
          <w:r>
            <w:rPr/>
            <w:instrText> PAGE </w:instrText>
          </w:r>
          <w:r>
            <w:rPr/>
            <w:fldChar w:fldCharType="separate"/>
          </w:r>
          <w:r>
            <w:rPr/>
            <w:t>2</w:t>
          </w:r>
          <w:r>
            <w:rPr/>
            <w:fldChar w:fldCharType="end"/>
          </w:r>
          <w:r>
            <w:rPr>
              <w:rFonts w:ascii="0" w:hAnsi="0"/>
              <w:b w:val="false"/>
              <w:i w:val="false"/>
              <w:sz w:val="20"/>
            </w:rPr>
            <w:t xml:space="preserve"> из </w:t>
          </w:r>
          <w:r>
            <w:rPr/>
            <w:fldChar w:fldCharType="begin"/>
          </w:r>
          <w:r>
            <w:rPr/>
            <w:instrText> NUMPAGES </w:instrText>
          </w:r>
          <w:r>
            <w:rPr/>
            <w:fldChar w:fldCharType="separate"/>
          </w:r>
          <w:r>
            <w:rPr/>
            <w:t>2</w:t>
          </w:r>
          <w:r>
            <w:rPr/>
            <w:fldChar w:fldCharType="end"/>
          </w:r>
        </w:p>
      </w:tc>
    </w:tr>
  </w:tbl>
  <w:p>
    <w:pPr>
      <w:pStyle w:val="ConsPlusNormal"/>
      <w:rPr>
        <w:sz w:val="1"/>
      </w:rPr>
    </w:pPr>
    <w:r>
      <w:rPr>
        <w:sz w:val="1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nsPlusNormal"/>
      <w:pBdr>
        <w:bottom w:val="single" w:sz="12" w:space="0" w:color="000000"/>
      </w:pBdr>
      <w:jc w:val="center"/>
      <w:rPr>
        <w:sz w:val="1"/>
      </w:rPr>
    </w:pPr>
    <w:r>
      <w:rPr>
        <w:sz w:val="1"/>
      </w:rPr>
    </w:r>
  </w:p>
  <w:tbl>
    <w:tblPr>
      <w:tblW w:w="10207" w:type="dxa"/>
      <w:jc w:val="left"/>
      <w:tblInd w:w="0" w:type="dxa"/>
      <w:tblBorders/>
      <w:tblCellMar>
        <w:top w:w="0" w:type="dxa"/>
        <w:left w:w="40" w:type="dxa"/>
        <w:bottom w:w="0" w:type="dxa"/>
        <w:right w:w="40" w:type="dxa"/>
      </w:tblCellMar>
    </w:tblPr>
    <w:tblGrid>
      <w:gridCol w:w="3368"/>
      <w:gridCol w:w="3470"/>
      <w:gridCol w:w="3369"/>
    </w:tblGrid>
    <w:tr>
      <w:trPr>
        <w:trHeight w:val="1663" w:hRule="exact"/>
      </w:trPr>
      <w:tc>
        <w:tcPr>
          <w:tcW w:w="3368" w:type="dxa"/>
          <w:tcBorders/>
          <w:shd w:fill="auto" w:val="clear"/>
          <w:vAlign w:val="center"/>
        </w:tcPr>
        <w:p>
          <w:pPr>
            <w:pStyle w:val="ConsPlusNormal"/>
            <w:tabs>
              <w:tab w:val="clear" w:pos="720"/>
            </w:tabs>
            <w:jc w:val="left"/>
            <w:rPr/>
          </w:pPr>
          <w:r>
            <w:rPr>
              <w:rFonts w:ascii="0" w:hAnsi="0"/>
              <w:b/>
              <w:i w:val="false"/>
              <w:color w:val="F58220"/>
              <w:sz w:val="28"/>
            </w:rPr>
            <w:t>КонсультантПлюс</w:t>
          </w:r>
          <w:r>
            <w:rPr/>
            <w:br/>
          </w:r>
          <w:r>
            <w:rPr>
              <w:rFonts w:ascii="0" w:hAnsi="0"/>
              <w:b/>
              <w:i w:val="false"/>
              <w:color w:val="auto"/>
              <w:sz w:val="16"/>
            </w:rPr>
            <w:t>надежная правовая поддержка</w:t>
          </w:r>
        </w:p>
      </w:tc>
      <w:tc>
        <w:tcPr>
          <w:tcW w:w="3470" w:type="dxa"/>
          <w:tcBorders/>
          <w:shd w:fill="auto" w:val="clear"/>
          <w:vAlign w:val="center"/>
        </w:tcPr>
        <w:p>
          <w:pPr>
            <w:pStyle w:val="ConsPlusNormal"/>
            <w:tabs>
              <w:tab w:val="clear" w:pos="720"/>
            </w:tabs>
            <w:jc w:val="center"/>
            <w:rPr/>
          </w:pPr>
          <w:hyperlink r:id="rId1">
            <w:r>
              <w:rPr>
                <w:rStyle w:val="ListLabel2"/>
                <w:rFonts w:ascii="0" w:hAnsi="0"/>
                <w:b/>
                <w:i w:val="false"/>
                <w:color w:val="0000FF"/>
                <w:sz w:val="20"/>
              </w:rPr>
              <w:t>www.consultant.ru</w:t>
            </w:r>
          </w:hyperlink>
        </w:p>
      </w:tc>
      <w:tc>
        <w:tcPr>
          <w:tcW w:w="3369" w:type="dxa"/>
          <w:tcBorders/>
          <w:shd w:fill="auto" w:val="clear"/>
          <w:vAlign w:val="center"/>
        </w:tcPr>
        <w:p>
          <w:pPr>
            <w:pStyle w:val="ConsPlusNormal"/>
            <w:tabs>
              <w:tab w:val="clear" w:pos="720"/>
            </w:tabs>
            <w:jc w:val="right"/>
            <w:rPr/>
          </w:pPr>
          <w:r>
            <w:rPr>
              <w:rFonts w:ascii="0" w:hAnsi="0"/>
              <w:b w:val="false"/>
              <w:i w:val="false"/>
              <w:sz w:val="20"/>
            </w:rPr>
            <w:t xml:space="preserve">Страница </w:t>
          </w:r>
          <w:r>
            <w:rPr/>
            <w:fldChar w:fldCharType="begin"/>
          </w:r>
          <w:r>
            <w:rPr/>
            <w:instrText> PAGE </w:instrText>
          </w:r>
          <w:r>
            <w:rPr/>
            <w:fldChar w:fldCharType="separate"/>
          </w:r>
          <w:r>
            <w:rPr/>
            <w:t>1</w:t>
          </w:r>
          <w:r>
            <w:rPr/>
            <w:fldChar w:fldCharType="end"/>
          </w:r>
          <w:r>
            <w:rPr>
              <w:rFonts w:ascii="0" w:hAnsi="0"/>
              <w:b w:val="false"/>
              <w:i w:val="false"/>
              <w:sz w:val="20"/>
            </w:rPr>
            <w:t xml:space="preserve"> из </w:t>
          </w:r>
          <w:r>
            <w:rPr/>
            <w:fldChar w:fldCharType="begin"/>
          </w:r>
          <w:r>
            <w:rPr/>
            <w:instrText> NUMPAGES </w:instrText>
          </w:r>
          <w:r>
            <w:rPr/>
            <w:fldChar w:fldCharType="separate"/>
          </w:r>
          <w:r>
            <w:rPr/>
            <w:t>2</w:t>
          </w:r>
          <w:r>
            <w:rPr/>
            <w:fldChar w:fldCharType="end"/>
          </w:r>
        </w:p>
      </w:tc>
    </w:tr>
  </w:tbl>
  <w:p>
    <w:pPr>
      <w:pStyle w:val="ConsPlusNormal"/>
      <w:rPr>
        <w:sz w:val="1"/>
      </w:rPr>
    </w:pPr>
    <w:r>
      <w:rPr>
        <w:sz w:val="1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10207" w:type="dxa"/>
      <w:jc w:val="left"/>
      <w:tblInd w:w="0" w:type="dxa"/>
      <w:tblBorders/>
      <w:tblCellMar>
        <w:top w:w="0" w:type="dxa"/>
        <w:left w:w="40" w:type="dxa"/>
        <w:bottom w:w="0" w:type="dxa"/>
        <w:right w:w="40" w:type="dxa"/>
      </w:tblCellMar>
    </w:tblPr>
    <w:tblGrid>
      <w:gridCol w:w="5612"/>
      <w:gridCol w:w="511"/>
      <w:gridCol w:w="4084"/>
    </w:tblGrid>
    <w:tr>
      <w:trPr>
        <w:trHeight w:val="1683" w:hRule="exact"/>
      </w:trPr>
      <w:tc>
        <w:tcPr>
          <w:tcW w:w="5612" w:type="dxa"/>
          <w:tcBorders/>
          <w:shd w:fill="auto" w:val="clear"/>
          <w:vAlign w:val="center"/>
        </w:tcPr>
        <w:p>
          <w:pPr>
            <w:pStyle w:val="ConsPlusNormal"/>
            <w:tabs>
              <w:tab w:val="clear" w:pos="720"/>
            </w:tabs>
            <w:jc w:val="left"/>
            <w:rPr/>
          </w:pPr>
          <w:r>
            <w:rPr>
              <w:rFonts w:ascii="0" w:hAnsi="0"/>
              <w:b w:val="false"/>
              <w:i w:val="false"/>
              <w:sz w:val="16"/>
            </w:rPr>
            <w:t>&lt;Письмо&gt; Росстандарта N АА-275/04, Росаккредитации N НС-73 от 21.04.2020</w:t>
          </w:r>
          <w:r>
            <w:rPr/>
            <w:br/>
          </w:r>
          <w:r>
            <w:rPr>
              <w:rFonts w:ascii="0" w:hAnsi="0"/>
              <w:b w:val="false"/>
              <w:i w:val="false"/>
              <w:sz w:val="16"/>
            </w:rPr>
            <w:t>"Юридическим лицам и индивидуальным предпринима...</w:t>
          </w:r>
        </w:p>
      </w:tc>
      <w:tc>
        <w:tcPr>
          <w:tcW w:w="511" w:type="dxa"/>
          <w:tcBorders/>
          <w:shd w:fill="auto" w:val="clear"/>
          <w:vAlign w:val="center"/>
        </w:tcPr>
        <w:p>
          <w:pPr>
            <w:pStyle w:val="ConsPlusNormal"/>
            <w:tabs>
              <w:tab w:val="clear" w:pos="720"/>
            </w:tabs>
            <w:jc w:val="center"/>
            <w:rPr/>
          </w:pPr>
          <w:r>
            <w:rPr/>
          </w:r>
        </w:p>
        <w:p>
          <w:pPr>
            <w:pStyle w:val="ConsPlusNormal"/>
            <w:tabs>
              <w:tab w:val="clear" w:pos="720"/>
            </w:tabs>
            <w:jc w:val="center"/>
            <w:rPr/>
          </w:pPr>
          <w:r>
            <w:rPr/>
          </w:r>
        </w:p>
      </w:tc>
      <w:tc>
        <w:tcPr>
          <w:tcW w:w="4084" w:type="dxa"/>
          <w:tcBorders/>
          <w:shd w:fill="auto" w:val="clear"/>
          <w:vAlign w:val="center"/>
        </w:tcPr>
        <w:p>
          <w:pPr>
            <w:pStyle w:val="ConsPlusNormal"/>
            <w:tabs>
              <w:tab w:val="clear" w:pos="720"/>
            </w:tabs>
            <w:jc w:val="right"/>
            <w:rPr/>
          </w:pPr>
          <w:r>
            <w:rPr>
              <w:rFonts w:ascii="0" w:hAnsi="0"/>
              <w:b w:val="false"/>
              <w:i w:val="false"/>
              <w:sz w:val="18"/>
            </w:rPr>
            <w:t xml:space="preserve">Документ предоставлен </w:t>
          </w:r>
          <w:hyperlink r:id="rId1">
            <w:r>
              <w:rPr>
                <w:rStyle w:val="ListLabel1"/>
                <w:rFonts w:ascii="0" w:hAnsi="0"/>
                <w:b w:val="false"/>
                <w:i w:val="false"/>
                <w:color w:val="0000FF"/>
                <w:sz w:val="18"/>
              </w:rPr>
              <w:t>КонсультантПлюс</w:t>
            </w:r>
          </w:hyperlink>
          <w:r>
            <w:rPr/>
            <w:br/>
          </w:r>
          <w:r>
            <w:rPr>
              <w:rFonts w:ascii="0" w:hAnsi="0"/>
              <w:b w:val="false"/>
              <w:i w:val="false"/>
              <w:sz w:val="16"/>
            </w:rPr>
            <w:t>Дата сохранения: 23.04.2020</w:t>
          </w:r>
        </w:p>
      </w:tc>
    </w:tr>
  </w:tbl>
  <w:p>
    <w:pPr>
      <w:pStyle w:val="ConsPlusNormal"/>
      <w:pBdr>
        <w:bottom w:val="single" w:sz="12" w:space="0" w:color="000000"/>
      </w:pBdr>
      <w:jc w:val="center"/>
      <w:rPr>
        <w:sz w:val="1"/>
      </w:rPr>
    </w:pPr>
    <w:r>
      <w:rPr>
        <w:sz w:val="1"/>
      </w:rPr>
    </w:r>
  </w:p>
  <w:p>
    <w:pPr>
      <w:pStyle w:val="ConsPlusNormal"/>
      <w:jc w:val="center"/>
      <w:rPr/>
    </w:pPr>
    <w:r>
      <w:rPr>
        <w:sz w:val="10"/>
      </w:rPr>
      <w:t xml:space="preserve"> 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10207" w:type="dxa"/>
      <w:jc w:val="left"/>
      <w:tblInd w:w="0" w:type="dxa"/>
      <w:tblBorders/>
      <w:tblCellMar>
        <w:top w:w="0" w:type="dxa"/>
        <w:left w:w="40" w:type="dxa"/>
        <w:bottom w:w="0" w:type="dxa"/>
        <w:right w:w="40" w:type="dxa"/>
      </w:tblCellMar>
    </w:tblPr>
    <w:tblGrid>
      <w:gridCol w:w="5612"/>
      <w:gridCol w:w="511"/>
      <w:gridCol w:w="4084"/>
    </w:tblGrid>
    <w:tr>
      <w:trPr>
        <w:trHeight w:val="1683" w:hRule="exact"/>
      </w:trPr>
      <w:tc>
        <w:tcPr>
          <w:tcW w:w="5612" w:type="dxa"/>
          <w:tcBorders/>
          <w:shd w:fill="auto" w:val="clear"/>
          <w:vAlign w:val="center"/>
        </w:tcPr>
        <w:p>
          <w:pPr>
            <w:pStyle w:val="ConsPlusNormal"/>
            <w:tabs>
              <w:tab w:val="clear" w:pos="720"/>
            </w:tabs>
            <w:jc w:val="left"/>
            <w:rPr/>
          </w:pPr>
          <w:r>
            <w:rPr/>
            <w:drawing>
              <wp:inline distT="0" distB="0" distL="0" distR="0">
                <wp:extent cx="1905000" cy="447675"/>
                <wp:effectExtent l="0" t="0" r="0" b="0"/>
                <wp:docPr id="1" name="Изображение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Изображение1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447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>
          <w:pPr>
            <w:pStyle w:val="ConsPlusNormal"/>
            <w:tabs>
              <w:tab w:val="clear" w:pos="720"/>
            </w:tabs>
            <w:jc w:val="left"/>
            <w:rPr/>
          </w:pPr>
          <w:r>
            <w:rPr>
              <w:rFonts w:ascii="0" w:hAnsi="0"/>
              <w:b w:val="false"/>
              <w:i w:val="false"/>
              <w:sz w:val="16"/>
            </w:rPr>
            <w:t>&lt;Письмо&gt; Росстандарта N АА-275/04, Росаккредитации N НС-73 от 21.04.2020</w:t>
          </w:r>
          <w:r>
            <w:rPr/>
            <w:br/>
          </w:r>
          <w:r>
            <w:rPr>
              <w:rFonts w:ascii="0" w:hAnsi="0"/>
              <w:b w:val="false"/>
              <w:i w:val="false"/>
              <w:sz w:val="16"/>
            </w:rPr>
            <w:t>"Юридическим лицам и индивидуальным предпринима...</w:t>
          </w:r>
        </w:p>
      </w:tc>
      <w:tc>
        <w:tcPr>
          <w:tcW w:w="511" w:type="dxa"/>
          <w:tcBorders/>
          <w:shd w:fill="auto" w:val="clear"/>
          <w:vAlign w:val="center"/>
        </w:tcPr>
        <w:p>
          <w:pPr>
            <w:pStyle w:val="ConsPlusNormal"/>
            <w:tabs>
              <w:tab w:val="clear" w:pos="720"/>
            </w:tabs>
            <w:jc w:val="center"/>
            <w:rPr/>
          </w:pPr>
          <w:r>
            <w:rPr/>
          </w:r>
        </w:p>
        <w:p>
          <w:pPr>
            <w:pStyle w:val="ConsPlusNormal"/>
            <w:tabs>
              <w:tab w:val="clear" w:pos="720"/>
            </w:tabs>
            <w:jc w:val="center"/>
            <w:rPr/>
          </w:pPr>
          <w:r>
            <w:rPr/>
          </w:r>
        </w:p>
      </w:tc>
      <w:tc>
        <w:tcPr>
          <w:tcW w:w="4084" w:type="dxa"/>
          <w:tcBorders/>
          <w:shd w:fill="auto" w:val="clear"/>
          <w:vAlign w:val="center"/>
        </w:tcPr>
        <w:p>
          <w:pPr>
            <w:pStyle w:val="ConsPlusNormal"/>
            <w:tabs>
              <w:tab w:val="clear" w:pos="720"/>
            </w:tabs>
            <w:jc w:val="right"/>
            <w:rPr/>
          </w:pPr>
          <w:r>
            <w:rPr>
              <w:rFonts w:ascii="0" w:hAnsi="0"/>
              <w:b w:val="false"/>
              <w:i w:val="false"/>
              <w:sz w:val="18"/>
            </w:rPr>
            <w:t xml:space="preserve">Документ предоставлен </w:t>
          </w:r>
          <w:hyperlink r:id="rId2">
            <w:r>
              <w:rPr>
                <w:rStyle w:val="ListLabel1"/>
                <w:rFonts w:ascii="0" w:hAnsi="0"/>
                <w:b w:val="false"/>
                <w:i w:val="false"/>
                <w:color w:val="0000FF"/>
                <w:sz w:val="18"/>
              </w:rPr>
              <w:t>КонсультантПлюс</w:t>
            </w:r>
          </w:hyperlink>
          <w:r>
            <w:rPr/>
            <w:br/>
          </w:r>
          <w:r>
            <w:rPr>
              <w:rFonts w:ascii="0" w:hAnsi="0"/>
              <w:b w:val="false"/>
              <w:i w:val="false"/>
              <w:sz w:val="16"/>
            </w:rPr>
            <w:t>Дата сохранения: 23.04.2020</w:t>
          </w:r>
        </w:p>
      </w:tc>
    </w:tr>
  </w:tbl>
  <w:p>
    <w:pPr>
      <w:pStyle w:val="ConsPlusNormal"/>
      <w:pBdr>
        <w:bottom w:val="single" w:sz="12" w:space="0" w:color="000000"/>
      </w:pBdr>
      <w:jc w:val="center"/>
      <w:rPr>
        <w:sz w:val="1"/>
      </w:rPr>
    </w:pPr>
    <w:r>
      <w:rPr>
        <w:sz w:val="1"/>
      </w:rPr>
    </w:r>
  </w:p>
  <w:p>
    <w:pPr>
      <w:pStyle w:val="ConsPlusNormal"/>
      <w:jc w:val="center"/>
      <w:rPr/>
    </w:pPr>
    <w:r>
      <w:rPr>
        <w:sz w:val="10"/>
      </w:rPr>
      <w:t xml:space="preserve"> </w:t>
    </w:r>
  </w:p>
</w:hdr>
</file>

<file path=word/settings.xml><?xml version="1.0" encoding="utf-8"?>
<w:settings xmlns:w="http://schemas.openxmlformats.org/wordprocessingml/2006/main">
  <w:zoom w:percent="10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kern w:val="2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</w:pPr>
    <w:rPr>
      <w:rFonts w:ascii="Liberation Serif" w:hAnsi="Liberation Serif" w:eastAsia="NSimSun" w:cs="Mangal"/>
      <w:color w:val="auto"/>
      <w:kern w:val="2"/>
      <w:sz w:val="24"/>
      <w:szCs w:val="24"/>
      <w:lang w:val="ru-RU" w:eastAsia="zh-CN" w:bidi="hi-IN"/>
    </w:rPr>
  </w:style>
  <w:style w:type="character" w:styleId="ListLabel1">
    <w:name w:val="ListLabel 1"/>
    <w:qFormat/>
    <w:rPr>
      <w:rFonts w:ascii="0" w:hAnsi="0"/>
      <w:b w:val="false"/>
      <w:i w:val="false"/>
      <w:color w:val="0000FF"/>
      <w:sz w:val="18"/>
    </w:rPr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character" w:styleId="ListLabel2">
    <w:name w:val="ListLabel 2"/>
    <w:qFormat/>
    <w:rPr>
      <w:rFonts w:ascii="0" w:hAnsi="0"/>
      <w:b/>
      <w:i w:val="false"/>
      <w:color w:val="0000FF"/>
      <w:sz w:val="20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ConsPlusNormal">
    <w:name w:val="ConsPlusNormal"/>
    <w:qFormat/>
    <w:pPr>
      <w:widowControl/>
      <w:bidi w:val="0"/>
      <w:jc w:val="left"/>
    </w:pPr>
    <w:rPr>
      <w:rFonts w:ascii="Times New Roman" w:hAnsi="Times New Roman" w:eastAsia="Arial" w:cs="Courier New"/>
      <w:b w:val="false"/>
      <w:i w:val="false"/>
      <w:strike w:val="false"/>
      <w:dstrike w:val="false"/>
      <w:color w:val="auto"/>
      <w:kern w:val="2"/>
      <w:sz w:val="24"/>
      <w:szCs w:val="24"/>
      <w:u w:val="none"/>
      <w:lang w:val="ru-RU" w:eastAsia="zh-CN" w:bidi="hi-IN"/>
    </w:rPr>
  </w:style>
  <w:style w:type="paragraph" w:styleId="ConsPlusNonformat">
    <w:name w:val="ConsPlusNonformat"/>
    <w:qFormat/>
    <w:pPr>
      <w:widowControl/>
      <w:bidi w:val="0"/>
      <w:jc w:val="left"/>
    </w:pPr>
    <w:rPr>
      <w:rFonts w:ascii="Courier New" w:hAnsi="Courier New" w:eastAsia="Arial" w:cs="Courier New"/>
      <w:b w:val="false"/>
      <w:i w:val="false"/>
      <w:strike w:val="false"/>
      <w:dstrike w:val="false"/>
      <w:color w:val="auto"/>
      <w:kern w:val="2"/>
      <w:sz w:val="20"/>
      <w:szCs w:val="24"/>
      <w:u w:val="none"/>
      <w:lang w:val="ru-RU" w:eastAsia="zh-CN" w:bidi="hi-IN"/>
    </w:rPr>
  </w:style>
  <w:style w:type="paragraph" w:styleId="ConsPlusTitle">
    <w:name w:val="ConsPlusTitle"/>
    <w:qFormat/>
    <w:pPr>
      <w:widowControl/>
      <w:bidi w:val="0"/>
      <w:jc w:val="left"/>
    </w:pPr>
    <w:rPr>
      <w:rFonts w:ascii="Arial" w:hAnsi="Arial" w:eastAsia="Arial" w:cs="Courier New"/>
      <w:b/>
      <w:i w:val="false"/>
      <w:strike w:val="false"/>
      <w:dstrike w:val="false"/>
      <w:color w:val="auto"/>
      <w:kern w:val="2"/>
      <w:sz w:val="24"/>
      <w:szCs w:val="24"/>
      <w:u w:val="none"/>
      <w:lang w:val="ru-RU" w:eastAsia="zh-CN" w:bidi="hi-IN"/>
    </w:rPr>
  </w:style>
  <w:style w:type="paragraph" w:styleId="ConsPlusCell">
    <w:name w:val="ConsPlusCell"/>
    <w:qFormat/>
    <w:pPr>
      <w:widowControl/>
      <w:bidi w:val="0"/>
      <w:jc w:val="left"/>
    </w:pPr>
    <w:rPr>
      <w:rFonts w:ascii="Courier New" w:hAnsi="Courier New" w:eastAsia="Arial" w:cs="Courier New"/>
      <w:b w:val="false"/>
      <w:i w:val="false"/>
      <w:strike w:val="false"/>
      <w:dstrike w:val="false"/>
      <w:color w:val="auto"/>
      <w:kern w:val="2"/>
      <w:sz w:val="20"/>
      <w:szCs w:val="24"/>
      <w:u w:val="none"/>
      <w:lang w:val="ru-RU" w:eastAsia="zh-CN" w:bidi="hi-IN"/>
    </w:rPr>
  </w:style>
  <w:style w:type="paragraph" w:styleId="ConsPlusDocList">
    <w:name w:val="ConsPlusDocList"/>
    <w:qFormat/>
    <w:pPr>
      <w:widowControl/>
      <w:bidi w:val="0"/>
      <w:jc w:val="left"/>
    </w:pPr>
    <w:rPr>
      <w:rFonts w:ascii="Tahoma" w:hAnsi="Tahoma" w:eastAsia="Arial" w:cs="Courier New"/>
      <w:b w:val="false"/>
      <w:i w:val="false"/>
      <w:strike w:val="false"/>
      <w:dstrike w:val="false"/>
      <w:color w:val="auto"/>
      <w:kern w:val="2"/>
      <w:sz w:val="18"/>
      <w:szCs w:val="24"/>
      <w:u w:val="none"/>
      <w:lang w:val="ru-RU" w:eastAsia="zh-CN" w:bidi="hi-IN"/>
    </w:rPr>
  </w:style>
  <w:style w:type="paragraph" w:styleId="ConsPlusTitlePage">
    <w:name w:val="ConsPlusTitlePage"/>
    <w:qFormat/>
    <w:pPr>
      <w:widowControl/>
      <w:bidi w:val="0"/>
      <w:jc w:val="left"/>
    </w:pPr>
    <w:rPr>
      <w:rFonts w:ascii="Tahoma" w:hAnsi="Tahoma" w:eastAsia="Arial" w:cs="Courier New"/>
      <w:b w:val="false"/>
      <w:i w:val="false"/>
      <w:strike w:val="false"/>
      <w:dstrike w:val="false"/>
      <w:color w:val="auto"/>
      <w:kern w:val="2"/>
      <w:sz w:val="24"/>
      <w:szCs w:val="24"/>
      <w:u w:val="none"/>
      <w:lang w:val="ru-RU" w:eastAsia="zh-CN" w:bidi="hi-IN"/>
    </w:rPr>
  </w:style>
  <w:style w:type="paragraph" w:styleId="ConsPlusJurTerm">
    <w:name w:val="ConsPlusJurTerm"/>
    <w:qFormat/>
    <w:pPr>
      <w:widowControl/>
      <w:bidi w:val="0"/>
      <w:jc w:val="left"/>
    </w:pPr>
    <w:rPr>
      <w:rFonts w:ascii="Times New Roman" w:hAnsi="Times New Roman" w:eastAsia="Arial" w:cs="Courier New"/>
      <w:b w:val="false"/>
      <w:i w:val="false"/>
      <w:strike w:val="false"/>
      <w:dstrike w:val="false"/>
      <w:color w:val="auto"/>
      <w:kern w:val="2"/>
      <w:sz w:val="24"/>
      <w:szCs w:val="24"/>
      <w:u w:val="none"/>
      <w:lang w:val="ru-RU" w:eastAsia="zh-CN" w:bidi="hi-IN"/>
    </w:rPr>
  </w:style>
  <w:style w:type="paragraph" w:styleId="ConsPlusTextList">
    <w:name w:val="ConsPlusTextList"/>
    <w:qFormat/>
    <w:pPr>
      <w:widowControl/>
      <w:bidi w:val="0"/>
      <w:jc w:val="left"/>
    </w:pPr>
    <w:rPr>
      <w:rFonts w:ascii="Times New Roman" w:hAnsi="Times New Roman" w:eastAsia="Arial" w:cs="Courier New"/>
      <w:b w:val="false"/>
      <w:i w:val="false"/>
      <w:strike w:val="false"/>
      <w:dstrike w:val="false"/>
      <w:color w:val="auto"/>
      <w:kern w:val="2"/>
      <w:sz w:val="24"/>
      <w:szCs w:val="24"/>
      <w:u w:val="none"/>
      <w:lang w:val="ru-RU" w:eastAsia="zh-CN" w:bidi="hi-IN"/>
    </w:rPr>
  </w:style>
  <w:style w:type="paragraph" w:styleId="Style20">
    <w:name w:val="Header"/>
    <w:basedOn w:val="Normal"/>
    <w:pPr/>
    <w:rPr/>
  </w:style>
  <w:style w:type="paragraph" w:styleId="Style21">
    <w:name w:val="Footer"/>
    <w:basedOn w:val="Normal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www.consultant.ru/" TargetMode="Externa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://www.consultant.ru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hyperlink" Target="http://www.consultant.ru/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consultant.ru/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LibreOffice/6.1.0.3$Windows_X86_64 LibreOffice_project/efb621ed25068d70781dc026f7e9c5187a4decd1</Application>
  <Company>КонсультантПлюс Версия 4018.00.50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2020-04-23T14:48:00Z</dcterms:created>
  <dc:creator/>
  <dc:description/>
  <dc:language>ru-RU</dc:language>
  <cp:lastModifiedBy/>
  <cp:revision>0</cp:revision>
  <dc:subject/>
  <dc:title>&lt;Письмо&gt; Росстандарта N АА-275/04, Росаккредитации N НС-73 от 21.04.2020"Юридическим лицам и индивидуальным предпринимателям, выполняющим работы в области обеспечения единства измерений по поверке бытовых приборов учета"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4018.00.50</vt:lpwstr>
  </property>
</Properties>
</file>